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7C9C3878" w:rsidR="00711497" w:rsidRPr="00F97BC8" w:rsidRDefault="00711497" w:rsidP="00302D02">
            <w:pPr>
              <w:rPr>
                <w:b/>
              </w:rPr>
            </w:pPr>
            <w:r w:rsidRPr="00711497">
              <w:rPr>
                <w:rFonts w:ascii="Segoe UI Semilight" w:hAnsi="Segoe UI Semilight" w:cs="Segoe UI Semilight"/>
                <w:b/>
                <w:color w:val="FF0000"/>
                <w:szCs w:val="22"/>
              </w:rPr>
              <w:t xml:space="preserve">Lot </w:t>
            </w:r>
            <w:r w:rsidR="006B4736">
              <w:rPr>
                <w:rFonts w:ascii="Segoe UI Semilight" w:hAnsi="Segoe UI Semilight" w:cs="Segoe UI Semilight"/>
                <w:b/>
                <w:color w:val="FF0000"/>
                <w:szCs w:val="22"/>
              </w:rPr>
              <w:t>5</w:t>
            </w:r>
            <w:r w:rsidRPr="00711497">
              <w:rPr>
                <w:rFonts w:ascii="Segoe UI Semilight" w:hAnsi="Segoe UI Semilight" w:cs="Segoe UI Semilight"/>
                <w:b/>
                <w:color w:val="FF0000"/>
                <w:szCs w:val="22"/>
              </w:rPr>
              <w:t xml:space="preserve"> : </w:t>
            </w:r>
            <w:r w:rsidR="006B4736" w:rsidRPr="006B4736">
              <w:rPr>
                <w:rFonts w:ascii="Segoe UI Semilight" w:hAnsi="Segoe UI Semilight" w:cs="Segoe UI Semilight"/>
                <w:b/>
                <w:color w:val="FF0000"/>
                <w:szCs w:val="22"/>
              </w:rPr>
              <w:t>CVC/DESENFUMAGE/PLOMBERIE</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B4736">
              <w:rPr>
                <w:rFonts w:ascii="Calibri" w:hAnsi="Calibri"/>
              </w:rPr>
            </w:r>
            <w:r w:rsidR="006B473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B4736">
              <w:rPr>
                <w:rFonts w:ascii="Calibri" w:hAnsi="Calibri"/>
              </w:rPr>
            </w:r>
            <w:r w:rsidR="006B473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14E3F2C0"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w:t>
      </w:r>
      <w:r w:rsidR="006B4736" w:rsidRPr="006B4736">
        <w:rPr>
          <w:color w:val="auto"/>
          <w:u w:val="none"/>
        </w:rPr>
        <w:t>Lave main Banque d'accueil + Remplacement meuble SSPI RDC</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3AB95667"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6B4736">
        <w:rPr>
          <w:rFonts w:ascii="Segoe UI Semilight" w:hAnsi="Segoe UI Semilight" w:cs="Segoe UI Semilight"/>
          <w:b/>
          <w:color w:val="FF0000"/>
          <w:szCs w:val="22"/>
        </w:rPr>
        <w:t>5</w:t>
      </w:r>
      <w:r w:rsidRPr="00D57114">
        <w:rPr>
          <w:rFonts w:ascii="Segoe UI Semilight" w:hAnsi="Segoe UI Semilight" w:cs="Segoe UI Semilight"/>
          <w:b/>
          <w:color w:val="FF0000"/>
          <w:szCs w:val="22"/>
        </w:rPr>
        <w:t xml:space="preserve"> - </w:t>
      </w:r>
      <w:r w:rsidR="006B4736" w:rsidRPr="006B4736">
        <w:rPr>
          <w:rFonts w:ascii="Segoe UI Semilight" w:hAnsi="Segoe UI Semilight" w:cs="Segoe UI Semilight"/>
          <w:b/>
          <w:color w:val="FF0000"/>
          <w:szCs w:val="22"/>
        </w:rPr>
        <w:t>CVC/DESENFUMAGE/PLOMBERIE</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offre de base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41602674"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26D1E7AF"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6B4736">
            <w:rPr>
              <w:rFonts w:cs="Segoe UI"/>
              <w:color w:val="FF0000"/>
              <w:sz w:val="14"/>
              <w:szCs w:val="16"/>
            </w:rPr>
            <w:t>5</w:t>
          </w:r>
          <w:r w:rsidRPr="00302D02">
            <w:rPr>
              <w:rFonts w:cs="Segoe UI"/>
              <w:color w:val="FF0000"/>
              <w:sz w:val="14"/>
              <w:szCs w:val="16"/>
            </w:rPr>
            <w:t xml:space="preserve"> - </w:t>
          </w:r>
          <w:r w:rsidR="006B4736" w:rsidRPr="006B4736">
            <w:rPr>
              <w:rFonts w:cs="Segoe UI"/>
              <w:color w:val="FF0000"/>
              <w:sz w:val="14"/>
              <w:szCs w:val="16"/>
            </w:rPr>
            <w:t>CVC/DESENFUMAGE/PLOMBERIE</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72"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B4736"/>
    <w:rsid w:val="006D395D"/>
    <w:rsid w:val="006D62A7"/>
    <w:rsid w:val="006E0ECD"/>
    <w:rsid w:val="006E172D"/>
    <w:rsid w:val="006E48B2"/>
    <w:rsid w:val="006F64FB"/>
    <w:rsid w:val="006F7C37"/>
    <w:rsid w:val="00703016"/>
    <w:rsid w:val="00703405"/>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950</Words>
  <Characters>5139</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6077</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2026-01-12T14:01:00Z</dcterms:created>
  <dcterms:modified xsi:type="dcterms:W3CDTF">2026-01-12T14:13:00Z</dcterms:modified>
</cp:coreProperties>
</file>